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54"/>
      </w:tblGrid>
      <w:tr w:rsidR="006050BA" w:rsidRPr="004F1410" w:rsidTr="00B425EA">
        <w:tc>
          <w:tcPr>
            <w:tcW w:w="9576" w:type="dxa"/>
          </w:tcPr>
          <w:p w:rsidR="006050BA" w:rsidRPr="004F1410" w:rsidRDefault="006050BA" w:rsidP="00B425EA">
            <w:pPr>
              <w:pStyle w:val="NoSpacing"/>
              <w:jc w:val="center"/>
              <w:rPr>
                <w:rFonts w:asciiTheme="majorHAnsi" w:hAnsiTheme="majorHAnsi"/>
                <w:sz w:val="28"/>
                <w:szCs w:val="28"/>
              </w:rPr>
            </w:pPr>
            <w:r w:rsidRPr="004F1410">
              <w:rPr>
                <w:rFonts w:asciiTheme="majorHAnsi" w:hAnsiTheme="majorHAnsi"/>
                <w:sz w:val="28"/>
                <w:szCs w:val="28"/>
              </w:rPr>
              <w:t>WITS UNIVERSITY, JOHANNESBURG</w:t>
            </w:r>
          </w:p>
          <w:p w:rsidR="00635329" w:rsidRPr="004F1410" w:rsidRDefault="00635329" w:rsidP="00B425EA">
            <w:pPr>
              <w:pStyle w:val="NoSpacing"/>
              <w:jc w:val="center"/>
              <w:rPr>
                <w:rFonts w:asciiTheme="majorHAnsi" w:hAnsiTheme="majorHAnsi"/>
                <w:sz w:val="36"/>
                <w:szCs w:val="36"/>
              </w:rPr>
            </w:pPr>
            <w:r w:rsidRPr="004F1410">
              <w:rPr>
                <w:rFonts w:asciiTheme="majorHAnsi" w:hAnsiTheme="majorHAnsi"/>
                <w:sz w:val="28"/>
                <w:szCs w:val="28"/>
              </w:rPr>
              <w:t>FACULTY OF ENGINEERING &amp; THE BUILT ENVIRONMENT</w:t>
            </w:r>
          </w:p>
        </w:tc>
      </w:tr>
      <w:tr w:rsidR="006050BA" w:rsidTr="00B425EA">
        <w:tc>
          <w:tcPr>
            <w:tcW w:w="9576" w:type="dxa"/>
            <w:shd w:val="clear" w:color="auto" w:fill="BFBFBF" w:themeFill="background1" w:themeFillShade="BF"/>
          </w:tcPr>
          <w:p w:rsidR="00635329" w:rsidRPr="004F1410" w:rsidRDefault="00FA1B11" w:rsidP="004F1410">
            <w:pPr>
              <w:jc w:val="center"/>
              <w:rPr>
                <w:rFonts w:asciiTheme="majorHAnsi" w:hAnsiTheme="majorHAnsi"/>
                <w:b/>
                <w:sz w:val="16"/>
                <w:szCs w:val="16"/>
              </w:rPr>
            </w:pPr>
            <w:r>
              <w:rPr>
                <w:rFonts w:asciiTheme="majorHAnsi" w:hAnsiTheme="majorHAnsi"/>
                <w:b/>
                <w:color w:val="FFFFFF" w:themeColor="background1"/>
                <w:sz w:val="32"/>
                <w:szCs w:val="32"/>
              </w:rPr>
              <w:t xml:space="preserve">LECTURER or SENIOR LECTURER or </w:t>
            </w:r>
            <w:r w:rsidR="00F278E0">
              <w:rPr>
                <w:rFonts w:asciiTheme="majorHAnsi" w:hAnsiTheme="majorHAnsi"/>
                <w:b/>
                <w:color w:val="FFFFFF" w:themeColor="background1"/>
                <w:sz w:val="32"/>
                <w:szCs w:val="32"/>
              </w:rPr>
              <w:t>ASSOCIATE PROFESSOR FOR URBAN AND REGIONAL PLANNING</w:t>
            </w:r>
          </w:p>
        </w:tc>
      </w:tr>
      <w:tr w:rsidR="006050BA" w:rsidTr="00B425EA">
        <w:tc>
          <w:tcPr>
            <w:tcW w:w="9576" w:type="dxa"/>
          </w:tcPr>
          <w:p w:rsidR="006050BA" w:rsidRPr="004F1410" w:rsidRDefault="006050BA" w:rsidP="00B425EA">
            <w:pPr>
              <w:rPr>
                <w:rFonts w:asciiTheme="majorHAnsi" w:hAnsiTheme="majorHAnsi"/>
                <w:sz w:val="16"/>
                <w:szCs w:val="16"/>
              </w:rPr>
            </w:pPr>
          </w:p>
          <w:p w:rsidR="006050BA" w:rsidRDefault="004F1410" w:rsidP="00E90E25">
            <w:pPr>
              <w:jc w:val="both"/>
              <w:rPr>
                <w:rFonts w:asciiTheme="majorHAnsi" w:hAnsiTheme="majorHAnsi"/>
                <w:b/>
                <w:sz w:val="20"/>
                <w:szCs w:val="20"/>
              </w:rPr>
            </w:pPr>
            <w:r>
              <w:rPr>
                <w:rFonts w:asciiTheme="majorHAnsi" w:hAnsiTheme="majorHAnsi"/>
                <w:b/>
                <w:sz w:val="20"/>
                <w:szCs w:val="20"/>
              </w:rPr>
              <w:t>DESCRIPTION:</w:t>
            </w:r>
          </w:p>
          <w:p w:rsidR="004F1410" w:rsidRDefault="004F1410" w:rsidP="00E90E25">
            <w:pPr>
              <w:jc w:val="both"/>
              <w:rPr>
                <w:rFonts w:asciiTheme="majorHAnsi" w:hAnsiTheme="majorHAnsi"/>
                <w:b/>
                <w:sz w:val="20"/>
                <w:szCs w:val="20"/>
              </w:rPr>
            </w:pPr>
          </w:p>
          <w:p w:rsidR="004F1410" w:rsidRDefault="00F278E0" w:rsidP="00E90E25">
            <w:pPr>
              <w:jc w:val="both"/>
              <w:rPr>
                <w:rFonts w:asciiTheme="majorHAnsi" w:hAnsiTheme="majorHAnsi"/>
                <w:sz w:val="20"/>
                <w:szCs w:val="20"/>
              </w:rPr>
            </w:pPr>
            <w:r>
              <w:rPr>
                <w:rFonts w:asciiTheme="majorHAnsi" w:hAnsiTheme="majorHAnsi"/>
                <w:sz w:val="20"/>
                <w:szCs w:val="20"/>
              </w:rPr>
              <w:t>The School of Architecture and Planning invites applications for a full time appoin</w:t>
            </w:r>
            <w:r w:rsidR="00FA1B11">
              <w:rPr>
                <w:rFonts w:asciiTheme="majorHAnsi" w:hAnsiTheme="majorHAnsi"/>
                <w:sz w:val="20"/>
                <w:szCs w:val="20"/>
              </w:rPr>
              <w:t xml:space="preserve">tment at the levels of Lecturer or Senior Lecturer or </w:t>
            </w:r>
            <w:r>
              <w:rPr>
                <w:rFonts w:asciiTheme="majorHAnsi" w:hAnsiTheme="majorHAnsi"/>
                <w:sz w:val="20"/>
                <w:szCs w:val="20"/>
              </w:rPr>
              <w:t>Associate Professor.</w:t>
            </w:r>
          </w:p>
          <w:p w:rsidR="00F278E0" w:rsidRDefault="00F278E0" w:rsidP="00E90E25">
            <w:pPr>
              <w:jc w:val="both"/>
              <w:rPr>
                <w:rFonts w:asciiTheme="majorHAnsi" w:hAnsiTheme="majorHAnsi"/>
                <w:sz w:val="20"/>
                <w:szCs w:val="20"/>
              </w:rPr>
            </w:pPr>
          </w:p>
          <w:p w:rsidR="00F278E0" w:rsidRDefault="00F278E0" w:rsidP="00E90E25">
            <w:pPr>
              <w:jc w:val="both"/>
              <w:rPr>
                <w:rFonts w:asciiTheme="majorHAnsi" w:hAnsiTheme="majorHAnsi"/>
                <w:sz w:val="20"/>
                <w:szCs w:val="20"/>
              </w:rPr>
            </w:pPr>
            <w:r>
              <w:rPr>
                <w:rFonts w:asciiTheme="majorHAnsi" w:hAnsiTheme="majorHAnsi"/>
                <w:sz w:val="20"/>
                <w:szCs w:val="20"/>
              </w:rPr>
              <w:t>The successful candidate must be able to contribute to the teaching and research programmes of the School in on</w:t>
            </w:r>
            <w:r w:rsidR="007F216A">
              <w:rPr>
                <w:rFonts w:asciiTheme="majorHAnsi" w:hAnsiTheme="majorHAnsi"/>
                <w:sz w:val="20"/>
                <w:szCs w:val="20"/>
              </w:rPr>
              <w:t>e or more of the following area</w:t>
            </w:r>
            <w:r>
              <w:rPr>
                <w:rFonts w:asciiTheme="majorHAnsi" w:hAnsiTheme="majorHAnsi"/>
                <w:sz w:val="20"/>
                <w:szCs w:val="20"/>
              </w:rPr>
              <w:t>s: Urban politics and governance; community participation; municipal planning</w:t>
            </w:r>
            <w:r w:rsidR="005D3062">
              <w:rPr>
                <w:rFonts w:asciiTheme="majorHAnsi" w:hAnsiTheme="majorHAnsi"/>
                <w:sz w:val="20"/>
                <w:szCs w:val="20"/>
              </w:rPr>
              <w:t>,</w:t>
            </w:r>
            <w:r>
              <w:rPr>
                <w:rFonts w:asciiTheme="majorHAnsi" w:hAnsiTheme="majorHAnsi"/>
                <w:sz w:val="20"/>
                <w:szCs w:val="20"/>
              </w:rPr>
              <w:t xml:space="preserve"> governance and finance; planning law; property development in relation to planning; transportation; local physical planning (design, layout, land</w:t>
            </w:r>
            <w:r w:rsidR="00F979B6">
              <w:rPr>
                <w:rFonts w:asciiTheme="majorHAnsi" w:hAnsiTheme="majorHAnsi"/>
                <w:sz w:val="20"/>
                <w:szCs w:val="20"/>
              </w:rPr>
              <w:t xml:space="preserve"> use management); GIS</w:t>
            </w:r>
            <w:r w:rsidR="005D3062">
              <w:rPr>
                <w:rFonts w:asciiTheme="majorHAnsi" w:hAnsiTheme="majorHAnsi"/>
                <w:sz w:val="20"/>
                <w:szCs w:val="20"/>
              </w:rPr>
              <w:t>,</w:t>
            </w:r>
            <w:r w:rsidR="00F979B6">
              <w:rPr>
                <w:rFonts w:asciiTheme="majorHAnsi" w:hAnsiTheme="majorHAnsi"/>
                <w:sz w:val="20"/>
                <w:szCs w:val="20"/>
              </w:rPr>
              <w:t xml:space="preserve"> CAD and other relevant technologies; post-conflict and disaster planning.</w:t>
            </w:r>
          </w:p>
          <w:p w:rsidR="00F979B6" w:rsidRDefault="00F979B6" w:rsidP="00E90E25">
            <w:pPr>
              <w:jc w:val="both"/>
              <w:rPr>
                <w:rFonts w:asciiTheme="majorHAnsi" w:hAnsiTheme="majorHAnsi"/>
                <w:sz w:val="20"/>
                <w:szCs w:val="20"/>
              </w:rPr>
            </w:pPr>
          </w:p>
          <w:p w:rsidR="00F979B6" w:rsidRPr="004F1410" w:rsidRDefault="00F979B6" w:rsidP="00E90E25">
            <w:pPr>
              <w:jc w:val="both"/>
              <w:rPr>
                <w:rFonts w:asciiTheme="majorHAnsi" w:hAnsiTheme="majorHAnsi"/>
                <w:sz w:val="20"/>
                <w:szCs w:val="20"/>
              </w:rPr>
            </w:pPr>
            <w:r>
              <w:rPr>
                <w:rFonts w:asciiTheme="majorHAnsi" w:hAnsiTheme="majorHAnsi"/>
                <w:sz w:val="20"/>
                <w:szCs w:val="20"/>
              </w:rPr>
              <w:t>An appointment will be made on a permanent basis (subject to a probation period)</w:t>
            </w:r>
          </w:p>
          <w:p w:rsidR="004F1410" w:rsidRPr="004F1410" w:rsidRDefault="004F1410" w:rsidP="00E90E25">
            <w:pPr>
              <w:jc w:val="both"/>
              <w:rPr>
                <w:rFonts w:asciiTheme="majorHAnsi" w:hAnsiTheme="majorHAnsi"/>
                <w:b/>
                <w:sz w:val="20"/>
                <w:szCs w:val="20"/>
              </w:rPr>
            </w:pPr>
          </w:p>
          <w:p w:rsidR="006050BA" w:rsidRPr="004F1410" w:rsidRDefault="006050BA" w:rsidP="00B425EA">
            <w:pPr>
              <w:rPr>
                <w:rFonts w:asciiTheme="majorHAnsi" w:hAnsiTheme="majorHAnsi"/>
                <w:sz w:val="16"/>
                <w:szCs w:val="16"/>
              </w:rPr>
            </w:pPr>
          </w:p>
          <w:p w:rsidR="006050BA" w:rsidRPr="004F1410" w:rsidRDefault="004D2AF0" w:rsidP="00B425EA">
            <w:pPr>
              <w:rPr>
                <w:rFonts w:asciiTheme="majorHAnsi" w:hAnsiTheme="majorHAnsi"/>
                <w:b/>
                <w:sz w:val="20"/>
                <w:szCs w:val="20"/>
              </w:rPr>
            </w:pPr>
            <w:r w:rsidRPr="004F1410">
              <w:rPr>
                <w:rFonts w:asciiTheme="majorHAnsi" w:hAnsiTheme="majorHAnsi"/>
                <w:b/>
                <w:sz w:val="20"/>
                <w:szCs w:val="20"/>
              </w:rPr>
              <w:t>QUALIFICATIONS:</w:t>
            </w:r>
          </w:p>
          <w:p w:rsidR="004D2AF0" w:rsidRPr="004F1410" w:rsidRDefault="004D2AF0" w:rsidP="00B425EA">
            <w:pPr>
              <w:rPr>
                <w:rFonts w:asciiTheme="majorHAnsi" w:hAnsiTheme="majorHAnsi"/>
                <w:b/>
                <w:sz w:val="16"/>
                <w:szCs w:val="16"/>
              </w:rPr>
            </w:pPr>
          </w:p>
          <w:p w:rsidR="006050BA" w:rsidRDefault="00F979B6" w:rsidP="00F979B6">
            <w:pPr>
              <w:jc w:val="both"/>
              <w:rPr>
                <w:rFonts w:asciiTheme="majorHAnsi" w:hAnsiTheme="majorHAnsi"/>
                <w:sz w:val="20"/>
                <w:szCs w:val="20"/>
              </w:rPr>
            </w:pPr>
            <w:r>
              <w:rPr>
                <w:rFonts w:asciiTheme="majorHAnsi" w:hAnsiTheme="majorHAnsi"/>
                <w:sz w:val="20"/>
                <w:szCs w:val="20"/>
              </w:rPr>
              <w:t xml:space="preserve">A PhD in a relevant field is required, but a minimum of Masters </w:t>
            </w:r>
            <w:r w:rsidR="001F69C9">
              <w:rPr>
                <w:rFonts w:asciiTheme="majorHAnsi" w:hAnsiTheme="majorHAnsi"/>
                <w:sz w:val="20"/>
                <w:szCs w:val="20"/>
              </w:rPr>
              <w:t>(</w:t>
            </w:r>
            <w:r>
              <w:rPr>
                <w:rFonts w:asciiTheme="majorHAnsi" w:hAnsiTheme="majorHAnsi"/>
                <w:sz w:val="20"/>
                <w:szCs w:val="20"/>
              </w:rPr>
              <w:t>also in a relevant field</w:t>
            </w:r>
            <w:r w:rsidR="001F69C9">
              <w:rPr>
                <w:rFonts w:asciiTheme="majorHAnsi" w:hAnsiTheme="majorHAnsi"/>
                <w:sz w:val="20"/>
                <w:szCs w:val="20"/>
              </w:rPr>
              <w:t>)</w:t>
            </w:r>
            <w:r>
              <w:rPr>
                <w:rFonts w:asciiTheme="majorHAnsi" w:hAnsiTheme="majorHAnsi"/>
                <w:sz w:val="20"/>
                <w:szCs w:val="20"/>
              </w:rPr>
              <w:t xml:space="preserve"> will be considered for a lecturer level in more technical areas.  Candidates should have expertise in one or more of the areas listed above and </w:t>
            </w:r>
            <w:proofErr w:type="gramStart"/>
            <w:r>
              <w:rPr>
                <w:rFonts w:asciiTheme="majorHAnsi" w:hAnsiTheme="majorHAnsi"/>
                <w:sz w:val="20"/>
                <w:szCs w:val="20"/>
              </w:rPr>
              <w:t>be</w:t>
            </w:r>
            <w:proofErr w:type="gramEnd"/>
            <w:r>
              <w:rPr>
                <w:rFonts w:asciiTheme="majorHAnsi" w:hAnsiTheme="majorHAnsi"/>
                <w:sz w:val="20"/>
                <w:szCs w:val="20"/>
              </w:rPr>
              <w:t xml:space="preserve"> able to integrate these into teaching in the field of planning.  A strong record of academic publications is required for a senior lecturer position and more so for the associate professor position.  Work experience as a planning practitioner and relevant teaching experience is a strong recommendation, as is proved experience of complex administrative responsibilities, preferably within a university environment.  It will be an advantage to be able to qualify for registration with the South African Council for Planners (SACPLAN).  The School will consider employment equity targets in its appointment.</w:t>
            </w:r>
          </w:p>
          <w:p w:rsidR="00F979B6" w:rsidRPr="004F1410" w:rsidRDefault="00F979B6" w:rsidP="00B425EA">
            <w:pPr>
              <w:rPr>
                <w:rFonts w:asciiTheme="majorHAnsi" w:hAnsiTheme="majorHAnsi"/>
                <w:sz w:val="16"/>
                <w:szCs w:val="16"/>
              </w:rPr>
            </w:pPr>
          </w:p>
          <w:p w:rsidR="006050BA" w:rsidRDefault="00777227" w:rsidP="00B425EA">
            <w:pPr>
              <w:rPr>
                <w:rFonts w:asciiTheme="majorHAnsi" w:hAnsiTheme="majorHAnsi"/>
                <w:b/>
                <w:sz w:val="20"/>
                <w:szCs w:val="20"/>
              </w:rPr>
            </w:pPr>
            <w:r w:rsidRPr="004F1410">
              <w:rPr>
                <w:rFonts w:asciiTheme="majorHAnsi" w:hAnsiTheme="majorHAnsi"/>
                <w:b/>
                <w:sz w:val="20"/>
                <w:szCs w:val="20"/>
              </w:rPr>
              <w:t>DUTIES:</w:t>
            </w:r>
          </w:p>
          <w:p w:rsidR="00F979B6" w:rsidRDefault="00F979B6" w:rsidP="00B425EA">
            <w:pPr>
              <w:rPr>
                <w:rFonts w:asciiTheme="majorHAnsi" w:hAnsiTheme="majorHAnsi"/>
                <w:b/>
                <w:sz w:val="20"/>
                <w:szCs w:val="20"/>
              </w:rPr>
            </w:pPr>
          </w:p>
          <w:p w:rsidR="00F979B6" w:rsidRPr="00F979B6" w:rsidRDefault="00F979B6" w:rsidP="00B425EA">
            <w:pPr>
              <w:rPr>
                <w:rFonts w:asciiTheme="majorHAnsi" w:hAnsiTheme="majorHAnsi"/>
                <w:sz w:val="20"/>
                <w:szCs w:val="20"/>
              </w:rPr>
            </w:pPr>
            <w:r>
              <w:rPr>
                <w:rFonts w:asciiTheme="majorHAnsi" w:hAnsiTheme="majorHAnsi"/>
                <w:sz w:val="20"/>
                <w:szCs w:val="20"/>
              </w:rPr>
              <w:t>The successful applicant will have a teaching load and will be active in research, writing, publishing and/or creative work, and will be expected to carry a share of administrative responsibilities.</w:t>
            </w:r>
          </w:p>
          <w:p w:rsidR="00777227" w:rsidRPr="004F1410" w:rsidRDefault="00777227" w:rsidP="00B425EA">
            <w:pPr>
              <w:rPr>
                <w:rFonts w:asciiTheme="majorHAnsi" w:hAnsiTheme="majorHAnsi"/>
                <w:b/>
                <w:sz w:val="16"/>
                <w:szCs w:val="16"/>
              </w:rPr>
            </w:pPr>
          </w:p>
          <w:p w:rsidR="00181F12" w:rsidRPr="004F1410" w:rsidRDefault="00181F12" w:rsidP="00181F12">
            <w:pPr>
              <w:rPr>
                <w:rFonts w:asciiTheme="majorHAnsi" w:hAnsiTheme="majorHAnsi"/>
                <w:sz w:val="16"/>
                <w:szCs w:val="16"/>
              </w:rPr>
            </w:pPr>
          </w:p>
          <w:p w:rsidR="009E76F7" w:rsidRDefault="00181F12" w:rsidP="00E90E25">
            <w:pPr>
              <w:jc w:val="both"/>
              <w:rPr>
                <w:rFonts w:asciiTheme="majorHAnsi" w:hAnsiTheme="majorHAnsi"/>
                <w:sz w:val="20"/>
                <w:szCs w:val="20"/>
              </w:rPr>
            </w:pPr>
            <w:r w:rsidRPr="004F1410">
              <w:rPr>
                <w:rFonts w:asciiTheme="majorHAnsi" w:hAnsiTheme="majorHAnsi"/>
                <w:b/>
                <w:sz w:val="20"/>
                <w:szCs w:val="20"/>
              </w:rPr>
              <w:t>Enquiries:</w:t>
            </w:r>
            <w:r w:rsidRPr="004F1410">
              <w:rPr>
                <w:rFonts w:asciiTheme="majorHAnsi" w:hAnsiTheme="majorHAnsi"/>
                <w:sz w:val="20"/>
                <w:szCs w:val="20"/>
              </w:rPr>
              <w:t xml:space="preserve"> </w:t>
            </w:r>
            <w:r w:rsidR="009E76F7">
              <w:rPr>
                <w:rFonts w:asciiTheme="majorHAnsi" w:hAnsiTheme="majorHAnsi"/>
                <w:sz w:val="20"/>
                <w:szCs w:val="20"/>
              </w:rPr>
              <w:t>Professor Nnamdi Elleh</w:t>
            </w:r>
            <w:r w:rsidRPr="004F1410">
              <w:rPr>
                <w:rFonts w:asciiTheme="majorHAnsi" w:hAnsiTheme="majorHAnsi"/>
                <w:sz w:val="20"/>
                <w:szCs w:val="20"/>
              </w:rPr>
              <w:t xml:space="preserve">; Head of the School of </w:t>
            </w:r>
            <w:r w:rsidR="009E76F7">
              <w:rPr>
                <w:rFonts w:asciiTheme="majorHAnsi" w:hAnsiTheme="majorHAnsi"/>
                <w:sz w:val="20"/>
                <w:szCs w:val="20"/>
              </w:rPr>
              <w:t xml:space="preserve">Architecture and Planning: E-mail: </w:t>
            </w:r>
            <w:hyperlink r:id="rId6" w:history="1">
              <w:r w:rsidR="009E76F7" w:rsidRPr="0046365F">
                <w:rPr>
                  <w:rStyle w:val="Hyperlink"/>
                  <w:rFonts w:asciiTheme="majorHAnsi" w:hAnsiTheme="majorHAnsi"/>
                  <w:sz w:val="20"/>
                  <w:szCs w:val="20"/>
                </w:rPr>
                <w:t>Nnamdi.Elleh@wits.ac.za</w:t>
              </w:r>
            </w:hyperlink>
          </w:p>
          <w:p w:rsidR="006050BA" w:rsidRPr="004F1410" w:rsidRDefault="006050BA" w:rsidP="00E90E25">
            <w:pPr>
              <w:jc w:val="both"/>
              <w:rPr>
                <w:rFonts w:asciiTheme="majorHAnsi" w:hAnsiTheme="majorHAnsi"/>
                <w:sz w:val="16"/>
                <w:szCs w:val="16"/>
              </w:rPr>
            </w:pPr>
          </w:p>
          <w:p w:rsidR="006050BA" w:rsidRPr="004F1410" w:rsidRDefault="00181F12" w:rsidP="00E90E25">
            <w:pPr>
              <w:jc w:val="both"/>
              <w:rPr>
                <w:rFonts w:asciiTheme="majorHAnsi" w:hAnsiTheme="majorHAnsi"/>
                <w:sz w:val="20"/>
                <w:szCs w:val="20"/>
              </w:rPr>
            </w:pPr>
            <w:r w:rsidRPr="004F1410">
              <w:rPr>
                <w:rFonts w:asciiTheme="majorHAnsi" w:hAnsiTheme="majorHAnsi"/>
                <w:b/>
                <w:sz w:val="20"/>
                <w:szCs w:val="20"/>
              </w:rPr>
              <w:t>To Apply:</w:t>
            </w:r>
            <w:r w:rsidR="006050BA" w:rsidRPr="004F1410">
              <w:rPr>
                <w:rFonts w:asciiTheme="majorHAnsi" w:hAnsiTheme="majorHAnsi"/>
                <w:sz w:val="20"/>
                <w:szCs w:val="20"/>
              </w:rPr>
              <w:t xml:space="preserve"> Please send a letter of application</w:t>
            </w:r>
            <w:r w:rsidRPr="004F1410">
              <w:rPr>
                <w:rFonts w:asciiTheme="majorHAnsi" w:hAnsiTheme="majorHAnsi"/>
                <w:sz w:val="20"/>
                <w:szCs w:val="20"/>
              </w:rPr>
              <w:t>, a detailed CV with names and current e-mail addresses and contact numbers of (3) three referees, c</w:t>
            </w:r>
            <w:r w:rsidR="00972BB3" w:rsidRPr="004F1410">
              <w:rPr>
                <w:rFonts w:asciiTheme="majorHAnsi" w:hAnsiTheme="majorHAnsi"/>
                <w:sz w:val="20"/>
                <w:szCs w:val="20"/>
              </w:rPr>
              <w:t xml:space="preserve">ertified copies of qualifications, academic transcripts and South African ID and/or (copy of Passport if not a South African Citizen).  </w:t>
            </w:r>
            <w:r w:rsidR="00972BB3" w:rsidRPr="00F10B8C">
              <w:rPr>
                <w:rFonts w:asciiTheme="majorHAnsi" w:hAnsiTheme="majorHAnsi"/>
                <w:sz w:val="20"/>
                <w:szCs w:val="20"/>
              </w:rPr>
              <w:t>External applicants</w:t>
            </w:r>
            <w:r w:rsidR="00972BB3" w:rsidRPr="004F1410">
              <w:rPr>
                <w:rFonts w:asciiTheme="majorHAnsi" w:hAnsiTheme="majorHAnsi"/>
                <w:sz w:val="20"/>
                <w:szCs w:val="20"/>
              </w:rPr>
              <w:t xml:space="preserve"> are invited to apply by registering on the Wits i-Recruitment platform located at </w:t>
            </w:r>
            <w:hyperlink r:id="rId7" w:history="1">
              <w:r w:rsidR="00972BB3" w:rsidRPr="004F1410">
                <w:rPr>
                  <w:rStyle w:val="Hyperlink"/>
                  <w:rFonts w:asciiTheme="majorHAnsi" w:hAnsiTheme="majorHAnsi"/>
                  <w:sz w:val="20"/>
                  <w:szCs w:val="20"/>
                </w:rPr>
                <w:t>https://irec.wits.ac.za</w:t>
              </w:r>
            </w:hyperlink>
            <w:r w:rsidR="00972BB3" w:rsidRPr="004F1410">
              <w:rPr>
                <w:rFonts w:asciiTheme="majorHAnsi" w:hAnsiTheme="majorHAnsi"/>
                <w:sz w:val="20"/>
                <w:szCs w:val="20"/>
              </w:rPr>
              <w:t xml:space="preserve"> or to: The </w:t>
            </w:r>
            <w:r w:rsidR="009E76F7">
              <w:rPr>
                <w:rFonts w:asciiTheme="majorHAnsi" w:hAnsiTheme="majorHAnsi"/>
                <w:sz w:val="20"/>
                <w:szCs w:val="20"/>
              </w:rPr>
              <w:t>Human Resources Office</w:t>
            </w:r>
            <w:r w:rsidR="00972BB3" w:rsidRPr="004F1410">
              <w:rPr>
                <w:rFonts w:asciiTheme="majorHAnsi" w:hAnsiTheme="majorHAnsi"/>
                <w:sz w:val="20"/>
                <w:szCs w:val="20"/>
              </w:rPr>
              <w:t>, Faculty of Engineering &amp; the Built Environment, University of the Witwatersrand, Private Bag 3, Wits 2050, South Africa.  Internal employees may apply directly on Oracle Self-Service on the Wits Intranet by selecting ‘’Apply for a job’’.</w:t>
            </w:r>
          </w:p>
          <w:p w:rsidR="00972BB3" w:rsidRPr="004F1410" w:rsidRDefault="00972BB3" w:rsidP="00B425EA">
            <w:pPr>
              <w:rPr>
                <w:rFonts w:asciiTheme="majorHAnsi" w:hAnsiTheme="majorHAnsi"/>
                <w:sz w:val="16"/>
                <w:szCs w:val="16"/>
              </w:rPr>
            </w:pPr>
          </w:p>
          <w:p w:rsidR="006050BA" w:rsidRPr="00F90C75" w:rsidRDefault="006050BA" w:rsidP="00F90C75">
            <w:pPr>
              <w:rPr>
                <w:rFonts w:asciiTheme="majorHAnsi" w:hAnsiTheme="majorHAnsi"/>
                <w:sz w:val="20"/>
                <w:szCs w:val="20"/>
              </w:rPr>
            </w:pPr>
          </w:p>
          <w:p w:rsidR="006050BA" w:rsidRPr="004F1410" w:rsidRDefault="006050BA" w:rsidP="00B425EA">
            <w:pPr>
              <w:pStyle w:val="ListParagraph"/>
              <w:numPr>
                <w:ilvl w:val="0"/>
                <w:numId w:val="1"/>
              </w:numPr>
              <w:rPr>
                <w:rFonts w:asciiTheme="majorHAnsi" w:hAnsiTheme="majorHAnsi"/>
                <w:sz w:val="20"/>
                <w:szCs w:val="20"/>
              </w:rPr>
            </w:pPr>
            <w:r w:rsidRPr="004F1410">
              <w:rPr>
                <w:rFonts w:asciiTheme="majorHAnsi" w:hAnsiTheme="majorHAnsi"/>
                <w:sz w:val="20"/>
                <w:szCs w:val="20"/>
              </w:rPr>
              <w:t xml:space="preserve">Closing date: </w:t>
            </w:r>
            <w:r w:rsidR="009E76F7">
              <w:rPr>
                <w:rFonts w:asciiTheme="majorHAnsi" w:hAnsiTheme="majorHAnsi"/>
                <w:b/>
                <w:sz w:val="20"/>
                <w:szCs w:val="20"/>
              </w:rPr>
              <w:t>31 August 2018</w:t>
            </w:r>
          </w:p>
          <w:p w:rsidR="006050BA" w:rsidRPr="004F1410" w:rsidRDefault="006050BA" w:rsidP="00B425EA">
            <w:pPr>
              <w:rPr>
                <w:rFonts w:asciiTheme="majorHAnsi" w:hAnsiTheme="majorHAnsi"/>
                <w:sz w:val="16"/>
                <w:szCs w:val="16"/>
              </w:rPr>
            </w:pPr>
          </w:p>
          <w:p w:rsidR="006050BA" w:rsidRPr="004F1410" w:rsidRDefault="00E90E25" w:rsidP="00972BB3">
            <w:pPr>
              <w:jc w:val="both"/>
              <w:rPr>
                <w:rFonts w:asciiTheme="majorHAnsi" w:hAnsiTheme="majorHAnsi"/>
                <w:b/>
                <w:sz w:val="18"/>
                <w:szCs w:val="18"/>
              </w:rPr>
            </w:pPr>
            <w:r w:rsidRPr="004F1410">
              <w:rPr>
                <w:rFonts w:asciiTheme="majorHAnsi" w:hAnsiTheme="majorHAnsi"/>
                <w:b/>
                <w:sz w:val="18"/>
                <w:szCs w:val="18"/>
              </w:rPr>
              <w:t>Please note that given the thrust of the University’s strategic plan on transformation, preference may be given to appointable applicants from the under-represented designated groups in terms of the relevant employment equity plans and policies of the University.</w:t>
            </w:r>
          </w:p>
          <w:p w:rsidR="00E90E25" w:rsidRPr="004F1410" w:rsidRDefault="00E90E25" w:rsidP="00972BB3">
            <w:pPr>
              <w:jc w:val="both"/>
              <w:rPr>
                <w:rFonts w:asciiTheme="majorHAnsi" w:hAnsiTheme="majorHAnsi"/>
                <w:b/>
                <w:sz w:val="18"/>
                <w:szCs w:val="18"/>
              </w:rPr>
            </w:pPr>
          </w:p>
          <w:p w:rsidR="00E90E25" w:rsidRPr="004F1410" w:rsidRDefault="00E90E25" w:rsidP="00972BB3">
            <w:pPr>
              <w:jc w:val="both"/>
              <w:rPr>
                <w:rFonts w:asciiTheme="majorHAnsi" w:hAnsiTheme="majorHAnsi"/>
                <w:b/>
                <w:sz w:val="18"/>
                <w:szCs w:val="18"/>
              </w:rPr>
            </w:pPr>
            <w:r w:rsidRPr="004F1410">
              <w:rPr>
                <w:rFonts w:asciiTheme="majorHAnsi" w:hAnsiTheme="majorHAnsi"/>
                <w:b/>
                <w:sz w:val="18"/>
                <w:szCs w:val="18"/>
              </w:rPr>
              <w:t>The University reserves the right to verify all information provided by candidates and to verify credit rating.  Please note that correspondence will only be entered into with the shortlisted candidates.  The University reserves the right not to make an appointment or re-advertise.</w:t>
            </w:r>
          </w:p>
        </w:tc>
      </w:tr>
      <w:tr w:rsidR="009E76F7" w:rsidTr="00B425EA">
        <w:tc>
          <w:tcPr>
            <w:tcW w:w="9576" w:type="dxa"/>
          </w:tcPr>
          <w:p w:rsidR="009E76F7" w:rsidRPr="004F1410" w:rsidRDefault="009E76F7" w:rsidP="00B425EA">
            <w:pPr>
              <w:rPr>
                <w:rFonts w:asciiTheme="majorHAnsi" w:hAnsiTheme="majorHAnsi"/>
                <w:sz w:val="16"/>
                <w:szCs w:val="16"/>
              </w:rPr>
            </w:pPr>
          </w:p>
        </w:tc>
      </w:tr>
    </w:tbl>
    <w:p w:rsidR="006050BA" w:rsidRDefault="006050BA" w:rsidP="006050BA"/>
    <w:p w:rsidR="00691D2D" w:rsidRDefault="00691D2D">
      <w:bookmarkStart w:id="0" w:name="_GoBack"/>
      <w:bookmarkEnd w:id="0"/>
    </w:p>
    <w:sectPr w:rsidR="00691D2D" w:rsidSect="00C5605D">
      <w:pgSz w:w="12240" w:h="15840"/>
      <w:pgMar w:top="567" w:right="170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C6B06"/>
    <w:multiLevelType w:val="hybridMultilevel"/>
    <w:tmpl w:val="13C23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2E0596A"/>
    <w:multiLevelType w:val="hybridMultilevel"/>
    <w:tmpl w:val="086C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BA"/>
    <w:rsid w:val="00181F12"/>
    <w:rsid w:val="001F69C9"/>
    <w:rsid w:val="00247118"/>
    <w:rsid w:val="0030428F"/>
    <w:rsid w:val="0038100F"/>
    <w:rsid w:val="004D2AF0"/>
    <w:rsid w:val="004F1410"/>
    <w:rsid w:val="0055685B"/>
    <w:rsid w:val="005D3062"/>
    <w:rsid w:val="006050BA"/>
    <w:rsid w:val="00611CB5"/>
    <w:rsid w:val="00635329"/>
    <w:rsid w:val="00691D2D"/>
    <w:rsid w:val="00777227"/>
    <w:rsid w:val="007773EE"/>
    <w:rsid w:val="007A7400"/>
    <w:rsid w:val="007A780B"/>
    <w:rsid w:val="007F216A"/>
    <w:rsid w:val="00972BB3"/>
    <w:rsid w:val="00981D4F"/>
    <w:rsid w:val="009E76F7"/>
    <w:rsid w:val="00C1207C"/>
    <w:rsid w:val="00D5239D"/>
    <w:rsid w:val="00DD77E4"/>
    <w:rsid w:val="00E655B9"/>
    <w:rsid w:val="00E90E25"/>
    <w:rsid w:val="00F10B8C"/>
    <w:rsid w:val="00F278E0"/>
    <w:rsid w:val="00F90C75"/>
    <w:rsid w:val="00F979B6"/>
    <w:rsid w:val="00FA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0BA"/>
    <w:pPr>
      <w:spacing w:after="0" w:line="240" w:lineRule="auto"/>
    </w:pPr>
  </w:style>
  <w:style w:type="character" w:styleId="Hyperlink">
    <w:name w:val="Hyperlink"/>
    <w:basedOn w:val="DefaultParagraphFont"/>
    <w:uiPriority w:val="99"/>
    <w:unhideWhenUsed/>
    <w:rsid w:val="006050BA"/>
    <w:rPr>
      <w:color w:val="0000FF" w:themeColor="hyperlink"/>
      <w:u w:val="single"/>
    </w:rPr>
  </w:style>
  <w:style w:type="paragraph" w:styleId="ListParagraph">
    <w:name w:val="List Paragraph"/>
    <w:basedOn w:val="Normal"/>
    <w:uiPriority w:val="34"/>
    <w:qFormat/>
    <w:rsid w:val="00605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0BA"/>
    <w:pPr>
      <w:spacing w:after="0" w:line="240" w:lineRule="auto"/>
    </w:pPr>
  </w:style>
  <w:style w:type="character" w:styleId="Hyperlink">
    <w:name w:val="Hyperlink"/>
    <w:basedOn w:val="DefaultParagraphFont"/>
    <w:uiPriority w:val="99"/>
    <w:unhideWhenUsed/>
    <w:rsid w:val="006050BA"/>
    <w:rPr>
      <w:color w:val="0000FF" w:themeColor="hyperlink"/>
      <w:u w:val="single"/>
    </w:rPr>
  </w:style>
  <w:style w:type="paragraph" w:styleId="ListParagraph">
    <w:name w:val="List Paragraph"/>
    <w:basedOn w:val="Normal"/>
    <w:uiPriority w:val="34"/>
    <w:qFormat/>
    <w:rsid w:val="00605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rec.wits.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amdi.Elleh@wits.ac.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Alison Todes</cp:lastModifiedBy>
  <cp:revision>3</cp:revision>
  <dcterms:created xsi:type="dcterms:W3CDTF">2018-07-25T09:09:00Z</dcterms:created>
  <dcterms:modified xsi:type="dcterms:W3CDTF">2018-07-30T12:26:00Z</dcterms:modified>
</cp:coreProperties>
</file>